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072" w:type="dxa"/>
        <w:tblLook w:val="04A0" w:firstRow="1" w:lastRow="0" w:firstColumn="1" w:lastColumn="0" w:noHBand="0" w:noVBand="1"/>
      </w:tblPr>
      <w:tblGrid>
        <w:gridCol w:w="5245"/>
        <w:gridCol w:w="3827"/>
      </w:tblGrid>
      <w:tr>
        <w:tblPrEx/>
        <w:trPr>
          <w:trHeight w:val="1418"/>
        </w:trPr>
        <w:tc>
          <w:tcPr>
            <w:tcW w:w="5245" w:type="dxa"/>
            <w:textDirection w:val="lrTb"/>
            <w:noWrap w:val="false"/>
          </w:tcPr>
          <w:p>
            <w:pPr>
              <w:contextualSpacing/>
              <w:ind w:left="-142"/>
              <w:jc w:val="center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contextualSpacing/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4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 постановлению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администрации города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от______________ № ______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contextualSpacing/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Приложение 4 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contextualSpacing/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 муниципальной программе «Совершенствование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contextualSpacing/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муниципального управления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contextualSpacing/>
              <w:jc w:val="both"/>
              <w:spacing w:line="230" w:lineRule="auto"/>
              <w:rPr>
                <w:rFonts w:ascii="PT Astra Serif" w:hAnsi="PT Astra Serif" w:cstheme="majorBidi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и реализация национальной политики в городе Барнауле»</w:t>
            </w:r>
            <w:r>
              <w:rPr>
                <w:rFonts w:ascii="PT Astra Serif" w:hAnsi="PT Astra Serif" w:cstheme="majorBidi"/>
                <w:sz w:val="28"/>
                <w:szCs w:val="28"/>
              </w:rPr>
            </w:r>
          </w:p>
        </w:tc>
      </w:tr>
    </w:tbl>
    <w:p>
      <w:pPr>
        <w:jc w:val="both"/>
        <w:spacing w:line="230" w:lineRule="auto"/>
        <w:rPr>
          <w:rFonts w:ascii="PT Astra Serif" w:hAnsi="PT Astra Serif"/>
          <w:sz w:val="32"/>
          <w:szCs w:val="32"/>
        </w:rPr>
      </w:pPr>
      <w:r>
        <w:rPr>
          <w:rFonts w:ascii="PT Astra Serif" w:hAnsi="PT Astra Serif"/>
          <w:sz w:val="32"/>
          <w:szCs w:val="32"/>
        </w:rPr>
      </w:r>
      <w:r>
        <w:rPr>
          <w:rFonts w:ascii="PT Astra Serif" w:hAnsi="PT Astra Serif"/>
          <w:sz w:val="32"/>
          <w:szCs w:val="32"/>
        </w:rPr>
      </w:r>
    </w:p>
    <w:p>
      <w:pPr>
        <w:jc w:val="center"/>
        <w:spacing w:line="23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ПАСПОРТ</w:t>
      </w:r>
      <w:r>
        <w:rPr>
          <w:rFonts w:ascii="PT Astra Serif" w:hAnsi="PT Astra Serif"/>
          <w:sz w:val="28"/>
          <w:szCs w:val="28"/>
        </w:rPr>
      </w:r>
    </w:p>
    <w:p>
      <w:pPr>
        <w:jc w:val="center"/>
        <w:spacing w:line="23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подпрограммы </w:t>
      </w:r>
      <w:r>
        <w:rPr>
          <w:rFonts w:ascii="PT Astra Serif" w:hAnsi="PT Astra Serif"/>
          <w:sz w:val="28"/>
          <w:szCs w:val="28"/>
        </w:rPr>
      </w:r>
    </w:p>
    <w:p>
      <w:pPr>
        <w:jc w:val="center"/>
        <w:spacing w:line="230" w:lineRule="auto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</w:t>
      </w:r>
      <w:r>
        <w:rPr>
          <w:rFonts w:ascii="PT Astra Serif" w:hAnsi="PT Astra Serif" w:eastAsia="Calibri"/>
          <w:sz w:val="28"/>
          <w:szCs w:val="28"/>
        </w:rPr>
        <w:t xml:space="preserve">Противодействие экстремизму и идеологии терроризма</w:t>
      </w:r>
      <w:r>
        <w:rPr>
          <w:rFonts w:ascii="PT Astra Serif" w:hAnsi="PT Astra Serif" w:eastAsia="Calibri"/>
          <w:sz w:val="28"/>
          <w:szCs w:val="28"/>
        </w:rPr>
      </w:r>
    </w:p>
    <w:p>
      <w:pPr>
        <w:jc w:val="center"/>
        <w:spacing w:line="23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eastAsia="Calibri"/>
          <w:sz w:val="28"/>
          <w:szCs w:val="28"/>
        </w:rPr>
        <w:t xml:space="preserve">в городе Барнауле</w:t>
      </w:r>
      <w:r>
        <w:rPr>
          <w:rFonts w:ascii="PT Astra Serif" w:hAnsi="PT Astra Serif"/>
          <w:sz w:val="28"/>
          <w:szCs w:val="28"/>
        </w:rPr>
        <w:t xml:space="preserve">»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(далее – Подпрограмма)</w:t>
      </w:r>
      <w:r>
        <w:rPr>
          <w:rFonts w:ascii="PT Astra Serif" w:hAnsi="PT Astra Serif"/>
          <w:sz w:val="28"/>
          <w:szCs w:val="28"/>
        </w:rPr>
      </w:r>
    </w:p>
    <w:p>
      <w:pPr>
        <w:jc w:val="center"/>
        <w:spacing w:line="230" w:lineRule="auto"/>
        <w:rPr>
          <w:rFonts w:ascii="PT Astra Serif" w:hAnsi="PT Astra Serif"/>
        </w:rPr>
      </w:pPr>
      <w:r>
        <w:rPr>
          <w:rFonts w:ascii="PT Astra Serif" w:hAnsi="PT Astra Serif"/>
        </w:rPr>
      </w:r>
      <w:r>
        <w:rPr>
          <w:rFonts w:ascii="PT Astra Serif" w:hAnsi="PT Astra Serif"/>
        </w:rPr>
      </w:r>
    </w:p>
    <w:tbl>
      <w:tblPr>
        <w:tblW w:w="907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6804"/>
      </w:tblGrid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contextualSpacing/>
              <w:spacing w:line="230" w:lineRule="auto"/>
              <w:tabs>
                <w:tab w:val="left" w:pos="0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Соисполнитель Программы (ответственный исполнитель Подпрограммы)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Комитет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общественных связей и безопасности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администрации города Барнаула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  <w:tr>
        <w:tblPrEx/>
        <w:trPr>
          <w:trHeight w:val="530"/>
        </w:trPr>
        <w:tc>
          <w:tcPr>
            <w:tcW w:w="2268" w:type="dxa"/>
            <w:textDirection w:val="lrTb"/>
            <w:noWrap w:val="false"/>
          </w:tcPr>
          <w:p>
            <w:pPr>
              <w:contextualSpacing/>
              <w:spacing w:line="230" w:lineRule="auto"/>
              <w:tabs>
                <w:tab w:val="left" w:pos="0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Участники Подпрограммы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Органы администрации города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Барнаула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;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иные органы местного самоуправления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города Барнаула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;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Управление Министерства внутренних дел Российской Федерации по городу Барнаулу (по согласованию);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Управление Федеральной службы войск национальной гвардии Российской Федерации по Алтайскому краю (по согласованию); 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федеральное государственное казенное образовательное учреждение высшего образования «Барнаульский юридический институт Министерства внутренних дел Российской Федерации»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 xml:space="preserve">(по согласованию); 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центр по противодействию экстремизму Главного управления Министерства внутренних дел Российской Федерации по Алтайскому краю (по согласованию)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  <w:tr>
        <w:tblPrEx/>
        <w:trPr>
          <w:trHeight w:val="708"/>
        </w:trPr>
        <w:tc>
          <w:tcPr>
            <w:tcW w:w="2268" w:type="dxa"/>
            <w:textDirection w:val="lrTb"/>
            <w:noWrap w:val="false"/>
          </w:tcPr>
          <w:p>
            <w:pPr>
              <w:contextualSpacing/>
              <w:spacing w:line="230" w:lineRule="auto"/>
              <w:tabs>
                <w:tab w:val="left" w:pos="0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Цель Подпрограммы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Предупреждение террористических угроз и профилактика экстремизма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contextualSpacing/>
              <w:spacing w:line="230" w:lineRule="auto"/>
              <w:tabs>
                <w:tab w:val="left" w:pos="0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Задачи Подпрограммы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contextualSpacing/>
              <w:jc w:val="both"/>
              <w:spacing w:line="230" w:lineRule="auto"/>
              <w:tabs>
                <w:tab w:val="left" w:pos="260" w:leader="none"/>
                <w:tab w:val="left" w:pos="443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Реализация организационно-управленческих мер, направленных на совершенствование профилактики 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экстремизма и терроризма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;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  <w:p>
            <w:pPr>
              <w:contextualSpacing/>
              <w:jc w:val="both"/>
              <w:spacing w:line="230" w:lineRule="auto"/>
              <w:tabs>
                <w:tab w:val="left" w:pos="260" w:leader="none"/>
                <w:tab w:val="left" w:pos="443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профилактика межнациональных конфликтов, проявлений экстремизма и терроризма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организация 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социальной и культурной адаптации иностранных граждан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; 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  <w:p>
            <w:pPr>
              <w:contextualSpacing/>
              <w:jc w:val="both"/>
              <w:spacing w:line="230" w:lineRule="auto"/>
              <w:tabs>
                <w:tab w:val="left" w:pos="260" w:leader="none"/>
                <w:tab w:val="left" w:pos="443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информационно-пропагандистская работа по противодействию идеологиям экстремизма и терроризма, защита информационного пространства от идеологий экстремизма и терроризма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contextualSpacing/>
              <w:spacing w:line="230" w:lineRule="auto"/>
              <w:tabs>
                <w:tab w:val="left" w:pos="0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Перечень мероприятий Подпрограммы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spacing w:line="230" w:lineRule="auto"/>
              <w:rPr>
                <w:rFonts w:ascii="PT Astra Serif" w:hAnsi="PT Astra Serif" w:eastAsia="Calibri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Мероприятия Подпрограммы представлены 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br/>
              <w:t xml:space="preserve">в приложении 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6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 к Программе</w:t>
            </w:r>
            <w:r>
              <w:rPr>
                <w:rFonts w:ascii="PT Astra Serif" w:hAnsi="PT Astra Serif" w:eastAsia="Calibri"/>
                <w:sz w:val="28"/>
                <w:szCs w:val="28"/>
              </w:rPr>
            </w:r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contextualSpacing/>
              <w:spacing w:line="230" w:lineRule="auto"/>
              <w:tabs>
                <w:tab w:val="left" w:pos="0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Показатели Подпрограммы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contextualSpacing/>
              <w:jc w:val="both"/>
              <w:spacing w:line="230" w:lineRule="auto"/>
              <w:tabs>
                <w:tab w:val="left" w:pos="321" w:leader="none"/>
                <w:tab w:val="left" w:pos="472" w:leader="none"/>
              </w:tabs>
              <w:rPr>
                <w:rFonts w:ascii="PT Astra Serif" w:hAnsi="PT Astra Serif"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Количество вопросов, рассмотренных в ходе заседаний антитеррористической комиссии города Барнаула и межведомственной комиссии города Барнаула по противодействию экстремизму;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  <w:lang w:eastAsia="en-US"/>
              </w:rPr>
            </w:r>
          </w:p>
          <w:p>
            <w:pPr>
              <w:contextualSpacing/>
              <w:jc w:val="both"/>
              <w:tabs>
                <w:tab w:val="left" w:pos="321" w:leader="none"/>
                <w:tab w:val="left" w:pos="472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обеспечение доли потенциальных об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ъектов террористических посягательств в сферах образования, спорта и культуры, находящихся в муниципальной собственности или в ведении органов местного самоуправления города Барнаула, антитеррористическая защищенность которых соответствует законодательству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; 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  <w:p>
            <w:pPr>
              <w:contextualSpacing/>
              <w:jc w:val="both"/>
              <w:spacing w:line="230" w:lineRule="auto"/>
              <w:tabs>
                <w:tab w:val="left" w:pos="321" w:leader="none"/>
                <w:tab w:val="left" w:pos="472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к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оличество статей и информационных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сообщений о принимаемых мерах в сфере противодействия экстремизму и терроризму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, размещенных в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 газете «Вечерний Барнаул» и на официальном Интернет-сайте города Барнаула; 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  <w:p>
            <w:pPr>
              <w:contextualSpacing/>
              <w:jc w:val="both"/>
              <w:spacing w:line="230" w:lineRule="auto"/>
              <w:tabs>
                <w:tab w:val="left" w:pos="321" w:leader="none"/>
                <w:tab w:val="left" w:pos="472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оличество распространенной среди населения города Барнаула полиграфической продукции (листовок, памяток, буклетов, брошюр) по тематике противодействия экстремизму и терроризму, социальной и культурной адаптации иностранных граждан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contextualSpacing/>
              <w:spacing w:line="230" w:lineRule="auto"/>
              <w:tabs>
                <w:tab w:val="left" w:pos="0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Сроки и этапы реализации Подпрограммы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</w:t>
            </w:r>
            <w:r>
              <w:rPr>
                <w:rFonts w:ascii="PT Astra Serif" w:hAnsi="PT Astra Serif"/>
                <w:sz w:val="28"/>
                <w:szCs w:val="28"/>
              </w:rPr>
              <w:t xml:space="preserve">2</w:t>
            </w:r>
            <w:r>
              <w:rPr>
                <w:rFonts w:ascii="PT Astra Serif" w:hAnsi="PT Astra Serif" w:eastAsia="Calibri"/>
                <w:sz w:val="28"/>
                <w:szCs w:val="28"/>
              </w:rPr>
              <w:t xml:space="preserve"> –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202</w:t>
            </w:r>
            <w:r>
              <w:rPr>
                <w:rFonts w:ascii="PT Astra Serif" w:hAnsi="PT Astra Serif"/>
                <w:sz w:val="28"/>
                <w:szCs w:val="28"/>
              </w:rPr>
              <w:t xml:space="preserve">8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годы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contextualSpacing/>
              <w:spacing w:line="230" w:lineRule="auto"/>
              <w:tabs>
                <w:tab w:val="left" w:pos="0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Объемы финансирования Подпрограммы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Объем финансирования Подпрограммы за сч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ет всех источников в 2022 – 2028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годах составляе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                         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  <w:t xml:space="preserve">919 588,44290</w:t>
            </w:r>
            <w:r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тыс. рублей, в том числе по годам: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2022 год – 0,0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rPr>
                <w:rFonts w:ascii="PT Astra Serif" w:hAnsi="PT Astra Serif"/>
                <w:color w:val="ff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2023 год – 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85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661,8</w:t>
            </w:r>
            <w:r>
              <w:rPr>
                <w:rFonts w:ascii="PT Astra Serif" w:hAnsi="PT Astra Serif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тыс. рублей; </w:t>
            </w:r>
            <w:r>
              <w:rPr>
                <w:rFonts w:ascii="PT Astra Serif" w:hAnsi="PT Astra Serif"/>
                <w:color w:val="ff0000"/>
                <w:sz w:val="28"/>
                <w:szCs w:val="28"/>
              </w:rPr>
            </w:r>
          </w:p>
          <w:p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2024 год – 101 927,7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afterAutospacing="0"/>
              <w:rPr>
                <w:rFonts w:ascii="PT Astra Serif" w:hAnsi="PT Astra Serif"/>
                <w:sz w:val="28"/>
                <w:szCs w:val="28"/>
                <w:highlight w:val="white"/>
              </w:rPr>
            </w:pPr>
            <w:r>
              <w:rPr>
                <w:rFonts w:ascii="PT Astra Serif" w:hAnsi="PT Astra Serif"/>
                <w:sz w:val="28"/>
                <w:szCs w:val="28"/>
                <w:highlight w:val="white"/>
              </w:rPr>
              <w:t xml:space="preserve">2025 год – 210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  <w:highlight w:val="white"/>
              </w:rPr>
              <w:t xml:space="preserve"> 173,1429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  <w:highlight w:val="white"/>
              </w:rPr>
              <w:t xml:space="preserve">тыс. рублей; </w:t>
            </w:r>
            <w:r>
              <w:rPr>
                <w:rFonts w:ascii="PT Astra Serif" w:hAnsi="PT Astra Serif"/>
                <w:sz w:val="28"/>
                <w:szCs w:val="28"/>
                <w:highlight w:val="white"/>
              </w:rPr>
            </w:r>
            <w:r>
              <w:rPr>
                <w:rFonts w:ascii="PT Astra Serif" w:hAnsi="PT Astra Serif"/>
                <w:sz w:val="28"/>
                <w:szCs w:val="28"/>
                <w:highlight w:val="white"/>
              </w:rPr>
            </w:r>
          </w:p>
          <w:p>
            <w:pPr>
              <w:ind w:left="0" w:right="0" w:firstLine="0"/>
              <w:jc w:val="both"/>
              <w:spacing w:after="0" w:afterAutospacing="0"/>
              <w:rPr>
                <w:rFonts w:ascii="PT Astra Serif" w:hAnsi="PT Astra Serif"/>
                <w:sz w:val="28"/>
                <w:szCs w:val="28"/>
                <w:highlight w:val="white"/>
              </w:rPr>
            </w:pPr>
            <w:r>
              <w:rPr>
                <w:rFonts w:ascii="PT Astra Serif" w:hAnsi="PT Astra Serif"/>
                <w:sz w:val="28"/>
                <w:szCs w:val="28"/>
                <w:highlight w:val="white"/>
              </w:rPr>
              <w:t xml:space="preserve">2026 год – 216 869,8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  <w:highlight w:val="white"/>
              </w:rPr>
              <w:t xml:space="preserve">0000</w:t>
            </w:r>
            <w:r>
              <w:rPr>
                <w:rFonts w:ascii="PT Astra Serif" w:hAnsi="PT Astra Serif"/>
                <w:sz w:val="28"/>
                <w:szCs w:val="28"/>
                <w:highlight w:val="white"/>
              </w:rPr>
              <w:t xml:space="preserve"> тыс. рублей;</w:t>
            </w:r>
            <w:r>
              <w:rPr>
                <w:rFonts w:ascii="PT Astra Serif" w:hAnsi="PT Astra Serif"/>
                <w:sz w:val="28"/>
                <w:szCs w:val="28"/>
                <w:highlight w:val="white"/>
              </w:rPr>
            </w:r>
            <w:r>
              <w:rPr>
                <w:rFonts w:ascii="PT Astra Serif" w:hAnsi="PT Astra Serif"/>
                <w:sz w:val="28"/>
                <w:szCs w:val="28"/>
                <w:highlight w:val="white"/>
              </w:rPr>
            </w:r>
          </w:p>
          <w:p>
            <w:pPr>
              <w:ind w:left="0" w:right="0" w:firstLine="0"/>
              <w:jc w:val="both"/>
              <w:spacing w:after="0" w:afterAutospacing="0"/>
              <w:rPr>
                <w:rFonts w:ascii="PT Astra Serif" w:hAnsi="PT Astra Serif"/>
                <w:sz w:val="28"/>
                <w:szCs w:val="28"/>
                <w:highlight w:val="white"/>
              </w:rPr>
            </w:pPr>
            <w:r>
              <w:rPr>
                <w:rFonts w:ascii="PT Astra Serif" w:hAnsi="PT Astra Serif"/>
                <w:sz w:val="28"/>
                <w:szCs w:val="28"/>
                <w:highlight w:val="white"/>
              </w:rPr>
              <w:t xml:space="preserve">2027 год – 152 559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  <w:highlight w:val="white"/>
              </w:rPr>
              <w:t xml:space="preserve">,80000</w:t>
            </w:r>
            <w:r>
              <w:rPr>
                <w:rFonts w:ascii="PT Astra Serif" w:hAnsi="PT Astra Serif"/>
                <w:sz w:val="28"/>
                <w:szCs w:val="28"/>
                <w:highlight w:val="white"/>
              </w:rPr>
              <w:t xml:space="preserve"> тыс. рублей;</w:t>
            </w:r>
            <w:r>
              <w:rPr>
                <w:rFonts w:ascii="PT Astra Serif" w:hAnsi="PT Astra Serif"/>
                <w:sz w:val="28"/>
                <w:szCs w:val="28"/>
                <w:highlight w:val="white"/>
              </w:rPr>
            </w:r>
            <w:r>
              <w:rPr>
                <w:rFonts w:ascii="PT Astra Serif" w:hAnsi="PT Astra Serif"/>
                <w:sz w:val="28"/>
                <w:szCs w:val="28"/>
                <w:highlight w:val="white"/>
              </w:rPr>
            </w:r>
          </w:p>
          <w:p>
            <w:pPr>
              <w:ind w:left="0" w:right="0" w:firstLine="0"/>
              <w:jc w:val="both"/>
              <w:spacing w:after="0" w:afterAutospacing="0" w:line="233" w:lineRule="auto"/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highlight w:val="white"/>
              </w:rPr>
              <w:t xml:space="preserve">2028 год – 152 396,2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  <w:highlight w:val="white"/>
              </w:rPr>
              <w:t xml:space="preserve">0000 тыс. рублей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  <w:highlight w:val="white"/>
              </w:rPr>
              <w:t xml:space="preserve">,</w:t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том числе за счет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средств краевого бюджета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–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 xml:space="preserve">8 617,0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0000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рублей: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2022 год – 0,0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2023 год – 8 617,0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2024 год – 0,0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2025 год – 0,0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0000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2026 год – 0,0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0000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2027 год – 0,0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0000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2028 год – 0,00000 тыс.рублей,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том числе за счет средств бю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джета города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 xml:space="preserve">Барнаула –   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  <w:t xml:space="preserve">910 971,44290</w:t>
            </w:r>
            <w:r/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тыс. рублей: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2022 год – 0,0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2023 год 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– 77044,8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тыс. рублей; 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2024 год – 101 927,7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afterAutospacing="0" w:line="233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2025 год – 210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 173,1429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тыс. рублей; 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afterAutospacing="0" w:line="233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2026 год – 216 869,8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0000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afterAutospacing="0" w:line="233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2027 год – 152 559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,80000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afterAutospacing="0" w:line="233" w:lineRule="auto"/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2028 год – 152 396,2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0000 тыс. рублей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.</w:t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Финансирование отдельных мероприятий Подпрограммы в 2022 году 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осуществлялось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 за счет средств, предусмотренных в рамках муниципальных программ «Развитие обра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зования и молодежной политики города Барнаула», «Благоустройство, экологическая безопасность и природопользование города Барнаула на 2015 – 2040 годы», «Развитие физической культуры и спорта в городе Барнауле», «Развитие культуры города Барнаула на 2015 – 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br/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2024 годы». 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Реализация мероприятий в рамках Подпрограммы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в части финансирования из средств бюджета города Барнаула является расходным обязательством городского округа – города Барнаула Алтайского края. 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contextualSpacing/>
              <w:jc w:val="both"/>
              <w:spacing w:line="230" w:lineRule="auto"/>
              <w:tabs>
                <w:tab w:val="left" w:pos="321" w:leader="none"/>
                <w:tab w:val="left" w:pos="472" w:leader="none"/>
              </w:tabs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Объемы финансирования подлежат ежегодному уточнению в соответствии с решением </w:t>
            </w:r>
            <w:r>
              <w:rPr>
                <w:rFonts w:ascii="PT Astra Serif" w:hAnsi="PT Astra Serif" w:eastAsia="Calibri"/>
                <w:sz w:val="28"/>
                <w:szCs w:val="28"/>
              </w:rPr>
              <w:t xml:space="preserve">Барнаульской городской Думы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о бюджете города Барнаула на очередной финансовый год и на плановый период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contextualSpacing/>
              <w:spacing w:line="230" w:lineRule="auto"/>
              <w:tabs>
                <w:tab w:val="left" w:pos="0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Ожидаемые результаты реализации Подпрограммы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spacing w:line="233" w:lineRule="auto"/>
              <w:tabs>
                <w:tab w:val="left" w:pos="390" w:leader="none"/>
                <w:tab w:val="left" w:pos="936" w:leader="none"/>
                <w:tab w:val="left" w:pos="1014" w:leader="none"/>
              </w:tabs>
              <w:rPr>
                <w:rFonts w:ascii="PT Astra Serif" w:hAnsi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Рассмотрение в ходе заседаний антитеррористической комиссии города Барнаула и межведомственной комиссии города Барнаула по противодействию экстремизму не менее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112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вопросов;</w:t>
            </w:r>
            <w:r>
              <w:rPr>
                <w:rFonts w:ascii="PT Astra Serif" w:hAnsi="PT Astra Serif"/>
                <w:sz w:val="28"/>
                <w:szCs w:val="28"/>
                <w:highlight w:val="none"/>
              </w:rPr>
            </w:r>
          </w:p>
          <w:p>
            <w:pPr>
              <w:jc w:val="both"/>
              <w:spacing w:line="233" w:lineRule="auto"/>
              <w:tabs>
                <w:tab w:val="left" w:pos="390" w:leader="none"/>
                <w:tab w:val="left" w:pos="936" w:leader="none"/>
                <w:tab w:val="left" w:pos="1014" w:leader="none"/>
              </w:tabs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  <w:highlight w:val="none"/>
              </w:rPr>
            </w:r>
            <w:r>
              <w:rPr>
                <w:rFonts w:ascii="PT Astra Serif" w:hAnsi="PT Astra Serif"/>
                <w:sz w:val="28"/>
                <w:szCs w:val="28"/>
              </w:rPr>
              <w:t xml:space="preserve">обеспечение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доли потенциальных объектов террористических пос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ягательств в сферах образования, спорта и культуры, находящихся в муниципальной собственности или в ведении органов местного самоуправления города Барнаула, антитеррористическая защищенность которых соответствует законодательству, на уровне не менее 40,0%;</w:t>
            </w:r>
            <w:r/>
            <w:r>
              <w:rPr>
                <w:rFonts w:ascii="PT Astra Serif" w:hAnsi="PT Astra Serif"/>
                <w:sz w:val="28"/>
                <w:szCs w:val="28"/>
                <w:highlight w:val="none"/>
              </w:rPr>
            </w:r>
            <w:r>
              <w:rPr>
                <w:rFonts w:ascii="PT Astra Serif" w:hAnsi="PT Astra Serif"/>
                <w:sz w:val="28"/>
                <w:szCs w:val="28"/>
                <w:highlight w:val="none"/>
              </w:rPr>
            </w:r>
          </w:p>
          <w:p>
            <w:pPr>
              <w:jc w:val="both"/>
              <w:spacing w:line="233" w:lineRule="auto"/>
              <w:tabs>
                <w:tab w:val="left" w:pos="390" w:leader="none"/>
                <w:tab w:val="left" w:pos="936" w:leader="none"/>
                <w:tab w:val="left" w:pos="1014" w:leader="none"/>
              </w:tabs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размещение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в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газете «Вечерний Барнаул» и на официальном Интернет-сайте города Барнаула не менее 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580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статей и информационных сообщений о принимаемых мерах в сфере противодействия экстремизму и терроризму;</w:t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spacing w:line="233" w:lineRule="auto"/>
              <w:tabs>
                <w:tab w:val="left" w:pos="390" w:leader="none"/>
                <w:tab w:val="left" w:pos="936" w:leader="none"/>
                <w:tab w:val="left" w:pos="1014" w:leader="none"/>
              </w:tabs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распространение среди населения города Барнаула не 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менее 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16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000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экземпляров полиграфической продукции (листовок, памяток, буклетов, брошюр) по тематике противодействия экстремизму и терроризму</w:t>
            </w:r>
            <w:r>
              <w:rPr>
                <w:rFonts w:ascii="PT Astra Serif" w:hAnsi="PT Astra Serif"/>
                <w:sz w:val="28"/>
                <w:szCs w:val="28"/>
              </w:rPr>
              <w:t xml:space="preserve">, социальной и культурной адаптации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иностранных граждан</w:t>
            </w:r>
            <w:r>
              <w:rPr>
                <w:rFonts w:ascii="PT Astra Serif" w:hAnsi="PT Astra Serif"/>
                <w:sz w:val="28"/>
                <w:szCs w:val="28"/>
              </w:rPr>
            </w:r>
            <w:r/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</w:r>
          </w:p>
        </w:tc>
      </w:tr>
    </w:tbl>
    <w:p>
      <w:pPr>
        <w:jc w:val="both"/>
        <w:spacing w:line="230" w:lineRule="auto"/>
        <w:tabs>
          <w:tab w:val="left" w:pos="390" w:leader="none"/>
          <w:tab w:val="left" w:pos="936" w:leader="none"/>
          <w:tab w:val="left" w:pos="1014" w:leader="none"/>
        </w:tabs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985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Cambria">
    <w:panose1 w:val="0204050305040603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</w:t>
    </w:r>
    <w:r>
      <w:rPr>
        <w:sz w:val="28"/>
        <w:szCs w:val="28"/>
      </w:rPr>
      <w:fldChar w:fldCharType="end"/>
    </w:r>
    <w:r>
      <w:rPr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 w:cs="Times New Roman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43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63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783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03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223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3943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663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383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03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5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52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972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692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412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132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3852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572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292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14"/>
  </w:num>
  <w:num w:numId="9">
    <w:abstractNumId w:val="3"/>
  </w:num>
  <w:num w:numId="10">
    <w:abstractNumId w:val="8"/>
  </w:num>
  <w:num w:numId="11">
    <w:abstractNumId w:val="5"/>
  </w:num>
  <w:num w:numId="12">
    <w:abstractNumId w:val="16"/>
  </w:num>
  <w:num w:numId="13">
    <w:abstractNumId w:val="2"/>
  </w:num>
  <w:num w:numId="14">
    <w:abstractNumId w:val="11"/>
  </w:num>
  <w:num w:numId="15">
    <w:abstractNumId w:val="6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03"/>
    <w:link w:val="70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01"/>
    <w:next w:val="70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0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1"/>
    <w:next w:val="70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0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1"/>
    <w:next w:val="70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0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1"/>
    <w:next w:val="70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0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1"/>
    <w:next w:val="70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0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1"/>
    <w:next w:val="70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0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1"/>
    <w:next w:val="70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0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1"/>
    <w:next w:val="70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0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01"/>
    <w:next w:val="70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03"/>
    <w:link w:val="34"/>
    <w:uiPriority w:val="10"/>
    <w:rPr>
      <w:sz w:val="48"/>
      <w:szCs w:val="48"/>
    </w:rPr>
  </w:style>
  <w:style w:type="paragraph" w:styleId="36">
    <w:name w:val="Subtitle"/>
    <w:basedOn w:val="701"/>
    <w:next w:val="70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03"/>
    <w:link w:val="36"/>
    <w:uiPriority w:val="11"/>
    <w:rPr>
      <w:sz w:val="24"/>
      <w:szCs w:val="24"/>
    </w:rPr>
  </w:style>
  <w:style w:type="paragraph" w:styleId="38">
    <w:name w:val="Quote"/>
    <w:basedOn w:val="701"/>
    <w:next w:val="70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1"/>
    <w:next w:val="70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5">
    <w:name w:val="Footer Char"/>
    <w:basedOn w:val="703"/>
    <w:link w:val="714"/>
    <w:uiPriority w:val="99"/>
  </w:style>
  <w:style w:type="paragraph" w:styleId="46">
    <w:name w:val="Caption"/>
    <w:basedOn w:val="701"/>
    <w:next w:val="701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703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70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0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03"/>
    <w:uiPriority w:val="99"/>
    <w:unhideWhenUsed/>
    <w:rPr>
      <w:vertAlign w:val="superscript"/>
    </w:rPr>
  </w:style>
  <w:style w:type="paragraph" w:styleId="178">
    <w:name w:val="endnote text"/>
    <w:basedOn w:val="70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3"/>
    <w:uiPriority w:val="99"/>
    <w:semiHidden/>
    <w:unhideWhenUsed/>
    <w:rPr>
      <w:vertAlign w:val="superscript"/>
    </w:rPr>
  </w:style>
  <w:style w:type="paragraph" w:styleId="181">
    <w:name w:val="toc 1"/>
    <w:basedOn w:val="701"/>
    <w:next w:val="70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1"/>
    <w:next w:val="70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1"/>
    <w:next w:val="70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1"/>
    <w:next w:val="70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1"/>
    <w:next w:val="70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1"/>
    <w:next w:val="70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1"/>
    <w:next w:val="70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1"/>
    <w:next w:val="70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1"/>
    <w:next w:val="70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1"/>
    <w:next w:val="701"/>
    <w:uiPriority w:val="99"/>
    <w:unhideWhenUsed/>
    <w:pPr>
      <w:spacing w:after="0" w:afterAutospacing="0"/>
    </w:pPr>
  </w:style>
  <w:style w:type="paragraph" w:styleId="701" w:default="1">
    <w:name w:val="Normal"/>
    <w:qFormat/>
    <w:rPr>
      <w:rFonts w:eastAsia="Times New Roman"/>
      <w:sz w:val="24"/>
      <w:szCs w:val="24"/>
    </w:rPr>
  </w:style>
  <w:style w:type="paragraph" w:styleId="702">
    <w:name w:val="Heading 1"/>
    <w:basedOn w:val="701"/>
    <w:next w:val="701"/>
    <w:link w:val="706"/>
    <w:uiPriority w:val="99"/>
    <w:qFormat/>
    <w:pPr>
      <w:jc w:val="center"/>
      <w:spacing w:before="108" w:after="108"/>
      <w:outlineLvl w:val="0"/>
    </w:pPr>
    <w:rPr>
      <w:rFonts w:ascii="Cambria" w:hAnsi="Cambria" w:eastAsia="Calibri"/>
      <w:b/>
      <w:bCs/>
      <w:sz w:val="32"/>
      <w:szCs w:val="32"/>
    </w:rPr>
  </w:style>
  <w:style w:type="character" w:styleId="703" w:default="1">
    <w:name w:val="Default Paragraph Font"/>
    <w:uiPriority w:val="1"/>
    <w:semiHidden/>
    <w:unhideWhenUsed/>
  </w:style>
  <w:style w:type="table" w:styleId="7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5" w:default="1">
    <w:name w:val="No List"/>
    <w:uiPriority w:val="99"/>
    <w:semiHidden/>
    <w:unhideWhenUsed/>
  </w:style>
  <w:style w:type="character" w:styleId="706" w:customStyle="1">
    <w:name w:val="Заголовок 1 Знак"/>
    <w:link w:val="702"/>
    <w:uiPriority w:val="99"/>
    <w:rPr>
      <w:rFonts w:ascii="Cambria" w:hAnsi="Cambria" w:cs="Times New Roman"/>
      <w:b/>
      <w:bCs/>
      <w:sz w:val="32"/>
      <w:szCs w:val="32"/>
    </w:rPr>
  </w:style>
  <w:style w:type="paragraph" w:styleId="707" w:customStyle="1">
    <w:name w:val="ConsPlusCell"/>
    <w:uiPriority w:val="99"/>
    <w:rPr>
      <w:rFonts w:eastAsia="Times New Roman"/>
      <w:sz w:val="28"/>
      <w:szCs w:val="28"/>
    </w:rPr>
  </w:style>
  <w:style w:type="paragraph" w:styleId="708">
    <w:name w:val="List Paragraph"/>
    <w:basedOn w:val="701"/>
    <w:uiPriority w:val="99"/>
    <w:qFormat/>
    <w:pPr>
      <w:contextualSpacing/>
      <w:ind w:left="720"/>
    </w:pPr>
    <w:rPr>
      <w:rFonts w:eastAsia="Calibri"/>
      <w:sz w:val="28"/>
      <w:szCs w:val="28"/>
      <w:lang w:eastAsia="en-US"/>
    </w:rPr>
  </w:style>
  <w:style w:type="character" w:styleId="709">
    <w:name w:val="Hyperlink"/>
    <w:uiPriority w:val="99"/>
    <w:rPr>
      <w:rFonts w:cs="Times New Roman"/>
      <w:color w:val="0000ff"/>
      <w:u w:val="single"/>
    </w:rPr>
  </w:style>
  <w:style w:type="paragraph" w:styleId="710">
    <w:name w:val="Body Text Indent"/>
    <w:basedOn w:val="701"/>
    <w:link w:val="711"/>
    <w:uiPriority w:val="99"/>
    <w:pPr>
      <w:ind w:left="283"/>
      <w:spacing w:after="120"/>
    </w:pPr>
  </w:style>
  <w:style w:type="character" w:styleId="711" w:customStyle="1">
    <w:name w:val="Основной текст с отступом Знак"/>
    <w:link w:val="710"/>
    <w:uiPriority w:val="99"/>
    <w:rPr>
      <w:rFonts w:eastAsia="Times New Roman" w:cs="Times New Roman"/>
      <w:sz w:val="24"/>
      <w:szCs w:val="24"/>
      <w:lang w:eastAsia="ru-RU"/>
    </w:rPr>
  </w:style>
  <w:style w:type="paragraph" w:styleId="712">
    <w:name w:val="Header"/>
    <w:basedOn w:val="701"/>
    <w:link w:val="713"/>
    <w:uiPriority w:val="99"/>
    <w:pPr>
      <w:tabs>
        <w:tab w:val="center" w:pos="4677" w:leader="none"/>
        <w:tab w:val="right" w:pos="9355" w:leader="none"/>
      </w:tabs>
    </w:pPr>
  </w:style>
  <w:style w:type="character" w:styleId="713" w:customStyle="1">
    <w:name w:val="Верхний колонтитул Знак"/>
    <w:link w:val="712"/>
    <w:uiPriority w:val="99"/>
    <w:rPr>
      <w:rFonts w:eastAsia="Times New Roman" w:cs="Times New Roman"/>
      <w:sz w:val="24"/>
      <w:szCs w:val="24"/>
      <w:lang w:eastAsia="ru-RU"/>
    </w:rPr>
  </w:style>
  <w:style w:type="paragraph" w:styleId="714">
    <w:name w:val="Footer"/>
    <w:basedOn w:val="701"/>
    <w:link w:val="715"/>
    <w:uiPriority w:val="99"/>
    <w:pPr>
      <w:tabs>
        <w:tab w:val="center" w:pos="4677" w:leader="none"/>
        <w:tab w:val="right" w:pos="9355" w:leader="none"/>
      </w:tabs>
    </w:pPr>
  </w:style>
  <w:style w:type="character" w:styleId="715" w:customStyle="1">
    <w:name w:val="Нижний колонтитул Знак"/>
    <w:link w:val="714"/>
    <w:uiPriority w:val="99"/>
    <w:rPr>
      <w:rFonts w:eastAsia="Times New Roman" w:cs="Times New Roman"/>
      <w:sz w:val="24"/>
      <w:szCs w:val="24"/>
      <w:lang w:eastAsia="ru-RU"/>
    </w:rPr>
  </w:style>
  <w:style w:type="paragraph" w:styleId="716" w:customStyle="1">
    <w:name w:val="Прижатый влево"/>
    <w:basedOn w:val="701"/>
    <w:next w:val="701"/>
    <w:uiPriority w:val="99"/>
    <w:rPr>
      <w:rFonts w:ascii="Arial" w:hAnsi="Arial" w:eastAsia="Calibri" w:cs="Arial"/>
      <w:lang w:eastAsia="en-US"/>
    </w:rPr>
  </w:style>
  <w:style w:type="character" w:styleId="717" w:customStyle="1">
    <w:name w:val="Header Char"/>
    <w:uiPriority w:val="99"/>
    <w:rPr>
      <w:rFonts w:eastAsia="Times New Roman" w:cs="Times New Roman"/>
      <w:sz w:val="24"/>
      <w:szCs w:val="24"/>
      <w:lang w:val="ru-RU" w:eastAsia="ru-RU" w:bidi="ar-SA"/>
    </w:rPr>
  </w:style>
  <w:style w:type="paragraph" w:styleId="718" w:customStyle="1">
    <w:name w:val="Абзац списка1"/>
    <w:basedOn w:val="701"/>
    <w:uiPriority w:val="99"/>
    <w:pPr>
      <w:contextualSpacing/>
      <w:ind w:left="720"/>
    </w:pPr>
    <w:rPr>
      <w:rFonts w:eastAsia="Calibri"/>
    </w:rPr>
  </w:style>
  <w:style w:type="paragraph" w:styleId="719" w:customStyle="1">
    <w:name w:val="ConsPlusNormal"/>
    <w:uiPriority w:val="99"/>
    <w:pPr>
      <w:widowControl w:val="off"/>
    </w:pPr>
    <w:rPr>
      <w:rFonts w:ascii="Arial" w:hAnsi="Arial" w:cs="Arial"/>
    </w:rPr>
  </w:style>
  <w:style w:type="paragraph" w:styleId="720" w:customStyle="1">
    <w:name w:val="s_13"/>
    <w:basedOn w:val="701"/>
    <w:uiPriority w:val="99"/>
    <w:pPr>
      <w:ind w:firstLine="720"/>
    </w:pPr>
    <w:rPr>
      <w:sz w:val="20"/>
      <w:szCs w:val="20"/>
    </w:rPr>
  </w:style>
  <w:style w:type="paragraph" w:styleId="721">
    <w:name w:val="Normal (Web)"/>
    <w:basedOn w:val="701"/>
    <w:uiPriority w:val="99"/>
    <w:pPr>
      <w:spacing w:before="100" w:beforeAutospacing="1" w:after="100" w:afterAutospacing="1"/>
    </w:pPr>
  </w:style>
  <w:style w:type="paragraph" w:styleId="722" w:customStyle="1">
    <w:name w:val="Нормальный (таблица)"/>
    <w:basedOn w:val="701"/>
    <w:next w:val="701"/>
    <w:uiPriority w:val="99"/>
    <w:pPr>
      <w:jc w:val="both"/>
      <w:widowControl w:val="off"/>
    </w:pPr>
    <w:rPr>
      <w:rFonts w:ascii="Arial" w:hAnsi="Arial" w:cs="Arial"/>
    </w:rPr>
  </w:style>
  <w:style w:type="paragraph" w:styleId="723">
    <w:name w:val="Balloon Text"/>
    <w:basedOn w:val="701"/>
    <w:link w:val="724"/>
    <w:uiPriority w:val="99"/>
    <w:semiHidden/>
    <w:unhideWhenUsed/>
    <w:rPr>
      <w:rFonts w:ascii="Tahoma" w:hAnsi="Tahoma"/>
      <w:sz w:val="16"/>
      <w:szCs w:val="16"/>
    </w:rPr>
  </w:style>
  <w:style w:type="character" w:styleId="724" w:customStyle="1">
    <w:name w:val="Текст выноски Знак"/>
    <w:link w:val="723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725">
    <w:name w:val="annotation reference"/>
    <w:uiPriority w:val="99"/>
    <w:semiHidden/>
    <w:unhideWhenUsed/>
    <w:rPr>
      <w:sz w:val="16"/>
      <w:szCs w:val="16"/>
    </w:rPr>
  </w:style>
  <w:style w:type="paragraph" w:styleId="726">
    <w:name w:val="annotation text"/>
    <w:basedOn w:val="701"/>
    <w:link w:val="727"/>
    <w:uiPriority w:val="99"/>
    <w:semiHidden/>
    <w:unhideWhenUsed/>
    <w:rPr>
      <w:sz w:val="20"/>
      <w:szCs w:val="20"/>
    </w:rPr>
  </w:style>
  <w:style w:type="character" w:styleId="727" w:customStyle="1">
    <w:name w:val="Текст примечания Знак"/>
    <w:link w:val="726"/>
    <w:uiPriority w:val="99"/>
    <w:semiHidden/>
    <w:rPr>
      <w:rFonts w:eastAsia="Times New Roman"/>
    </w:rPr>
  </w:style>
  <w:style w:type="paragraph" w:styleId="728">
    <w:name w:val="annotation subject"/>
    <w:basedOn w:val="726"/>
    <w:next w:val="726"/>
    <w:link w:val="729"/>
    <w:uiPriority w:val="99"/>
    <w:semiHidden/>
    <w:unhideWhenUsed/>
    <w:rPr>
      <w:b/>
      <w:bCs/>
    </w:rPr>
  </w:style>
  <w:style w:type="character" w:styleId="729" w:customStyle="1">
    <w:name w:val="Тема примечания Знак"/>
    <w:link w:val="728"/>
    <w:uiPriority w:val="99"/>
    <w:semiHidden/>
    <w:rPr>
      <w:rFonts w:eastAsia="Times New Roman"/>
      <w:b/>
      <w:bCs/>
    </w:rPr>
  </w:style>
  <w:style w:type="character" w:styleId="730" w:customStyle="1">
    <w:name w:val="Гипертекстовая ссылка"/>
    <w:basedOn w:val="703"/>
    <w:uiPriority w:val="99"/>
    <w:rPr>
      <w:rFonts w:cs="Times New Roman"/>
      <w:b w:val="0"/>
      <w:color w:val="106bb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6AB038-4096-4B99-BA39-A38A55B64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Администрация г.Барнаула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berdova.yn</cp:lastModifiedBy>
  <cp:revision>73</cp:revision>
  <dcterms:created xsi:type="dcterms:W3CDTF">2023-06-27T03:04:00Z</dcterms:created>
  <dcterms:modified xsi:type="dcterms:W3CDTF">2025-12-16T07:10:18Z</dcterms:modified>
</cp:coreProperties>
</file>